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 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>Минздрав: действующим законодательством о контрактной системе не предусмотрено указание альтернативного варианта поставки лекарственного препарата с другим международным непатентованным наименованием, отличным от основной поставки</w:t>
                  </w:r>
                  <w:r>
                    <w:rPr>
                      <w:rFonts w:ascii="Times New Roman" w:hAnsi="Times New Roman"/>
                      <w:sz w:val="28"/>
                    </w:rPr>
                    <w:br/>
                  </w:r>
                </w:p>
                <w:p w14:paraId="05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</w:p>
              </w:tc>
            </w:tr>
          </w:tbl>
          <w:p w14:paraId="06000000"/>
        </w:tc>
      </w:tr>
    </w:tbl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8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9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Письмом Минздрава России от 24.04.2026 N 25-7/10/3029600-1057 по вопросу описания объекта закупки </w:t>
      </w:r>
      <w:r>
        <w:rPr>
          <w:rFonts w:ascii="Times New Roman" w:hAnsi="Times New Roman"/>
          <w:b w:val="0"/>
          <w:sz w:val="28"/>
        </w:rPr>
        <w:t>со</w:t>
      </w:r>
      <w:r>
        <w:rPr>
          <w:rFonts w:ascii="Times New Roman" w:hAnsi="Times New Roman"/>
          <w:b w:val="0"/>
          <w:sz w:val="28"/>
        </w:rPr>
        <w:t>общается, в частности, что в соответствии с пунктом 6 части 1 статьи 33 Федерального закона от 05.04.2013 N 44-ФЗ "О контрактной системе в сфере закупок товаров, работ, услуг для обеспечения государственных и муниципальных нужд" и пунктом 2 Особенностей описания лекарственных препаратов для медицинского применения, являющихся объектом закупки для обеспечения государственных и муниципальных нужд, утвержденных Постановлением Правитель</w:t>
      </w:r>
      <w:r>
        <w:rPr>
          <w:rFonts w:ascii="Times New Roman" w:hAnsi="Times New Roman"/>
          <w:b w:val="0"/>
          <w:sz w:val="28"/>
        </w:rPr>
        <w:t>ства РФ от 15.11.2017 N 1380, описание объекта закупки должно содержать указание на международное непатентованное наименование (далее - МНН), а в случае отсутствия МНН - на химическое или группировочное наименование. В описании объекта закупки указываются функциональные, технические и качественные характеристики, такие как: эквивалентные лекарственные формы, дозировка лекарственного препарата, остаточный срок годности лекарственного препарата.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0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2026-05-22T06:07:11Z</dcterms:modified>
</cp:coreProperties>
</file>